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8D714" w14:textId="77777777" w:rsidR="005F2CD3" w:rsidRPr="005F2CD3" w:rsidRDefault="005F2CD3" w:rsidP="005F2CD3">
      <w:pPr>
        <w:spacing w:before="8" w:after="0" w:line="240" w:lineRule="auto"/>
        <w:jc w:val="center"/>
        <w:rPr>
          <w:rFonts w:ascii="Times New Roman" w:eastAsia="Times New Roman" w:hAnsi="Times New Roman" w:cs="Times New Roman"/>
          <w:b/>
          <w:sz w:val="44"/>
          <w:szCs w:val="44"/>
        </w:rPr>
      </w:pPr>
      <w:r w:rsidRPr="005F2CD3">
        <w:rPr>
          <w:rFonts w:ascii="Times New Roman" w:eastAsia="Times New Roman" w:hAnsi="Times New Roman" w:cs="Times New Roman"/>
          <w:b/>
          <w:sz w:val="44"/>
          <w:szCs w:val="44"/>
        </w:rPr>
        <w:t>Supplemental Chemigation Label</w:t>
      </w:r>
    </w:p>
    <w:p w14:paraId="1AC0226A" w14:textId="77777777" w:rsidR="005F2CD3" w:rsidRPr="005F2CD3" w:rsidRDefault="005F2CD3" w:rsidP="005F2CD3">
      <w:pPr>
        <w:spacing w:before="8" w:after="0" w:line="240" w:lineRule="auto"/>
        <w:jc w:val="center"/>
        <w:rPr>
          <w:rFonts w:ascii="Times New Roman" w:eastAsia="Times New Roman" w:hAnsi="Times New Roman" w:cs="Times New Roman"/>
          <w:b/>
          <w:sz w:val="44"/>
          <w:szCs w:val="44"/>
        </w:rPr>
      </w:pPr>
      <w:r w:rsidRPr="005F2CD3">
        <w:rPr>
          <w:rFonts w:ascii="Times New Roman" w:eastAsia="Times New Roman" w:hAnsi="Times New Roman" w:cs="Times New Roman"/>
          <w:b/>
          <w:sz w:val="44"/>
          <w:szCs w:val="44"/>
        </w:rPr>
        <w:t xml:space="preserve">KitoGard </w:t>
      </w:r>
    </w:p>
    <w:p w14:paraId="57F4F1A1" w14:textId="77777777" w:rsidR="005F2CD3" w:rsidRPr="005F2CD3" w:rsidRDefault="005F2CD3" w:rsidP="005F2CD3">
      <w:pPr>
        <w:spacing w:before="8" w:after="0" w:line="240" w:lineRule="auto"/>
        <w:jc w:val="center"/>
        <w:rPr>
          <w:rFonts w:ascii="Times New Roman" w:eastAsia="Times New Roman" w:hAnsi="Times New Roman" w:cs="Times New Roman"/>
          <w:bCs/>
          <w:sz w:val="26"/>
        </w:rPr>
      </w:pPr>
      <w:r w:rsidRPr="005F2CD3">
        <w:rPr>
          <w:rFonts w:ascii="Times New Roman" w:eastAsia="Times New Roman" w:hAnsi="Times New Roman" w:cs="Times New Roman"/>
          <w:bCs/>
          <w:sz w:val="26"/>
        </w:rPr>
        <w:t>FIFRA 25(b)</w:t>
      </w:r>
    </w:p>
    <w:p w14:paraId="6AE6A55F" w14:textId="77777777" w:rsidR="005F2CD3" w:rsidRPr="005F2CD3" w:rsidRDefault="005F2CD3" w:rsidP="005F2CD3">
      <w:pPr>
        <w:spacing w:before="8" w:after="0" w:line="240" w:lineRule="auto"/>
        <w:jc w:val="center"/>
        <w:rPr>
          <w:rFonts w:ascii="Times New Roman" w:eastAsia="Times New Roman" w:hAnsi="Times New Roman" w:cs="Times New Roman"/>
          <w:sz w:val="26"/>
        </w:rPr>
      </w:pPr>
    </w:p>
    <w:p w14:paraId="2D631F54" w14:textId="77777777" w:rsidR="005F2CD3" w:rsidRPr="005F2CD3" w:rsidRDefault="005F2CD3" w:rsidP="005F2CD3">
      <w:pPr>
        <w:spacing w:before="8" w:after="0" w:line="240" w:lineRule="auto"/>
        <w:jc w:val="center"/>
        <w:rPr>
          <w:rFonts w:ascii="Times New Roman" w:eastAsia="Times New Roman" w:hAnsi="Times New Roman" w:cs="Times New Roman"/>
          <w:sz w:val="26"/>
        </w:rPr>
      </w:pPr>
      <w:r w:rsidRPr="005F2CD3">
        <w:rPr>
          <w:rFonts w:ascii="Times New Roman" w:eastAsia="Times New Roman" w:hAnsi="Times New Roman" w:cs="Times New Roman"/>
          <w:sz w:val="26"/>
        </w:rPr>
        <w:t>Application for All CROPS</w:t>
      </w:r>
    </w:p>
    <w:p w14:paraId="5C492C77" w14:textId="77777777" w:rsidR="00327C45" w:rsidRDefault="00327C45" w:rsidP="006E6BDF">
      <w:pPr>
        <w:spacing w:before="8" w:after="0" w:line="240" w:lineRule="auto"/>
        <w:jc w:val="center"/>
        <w:rPr>
          <w:rFonts w:ascii="Times New Roman" w:eastAsia="Times New Roman" w:hAnsi="Times New Roman" w:cs="Times New Roman"/>
          <w:sz w:val="26"/>
        </w:rPr>
      </w:pPr>
    </w:p>
    <w:p w14:paraId="58F0C7C2" w14:textId="77777777" w:rsidR="00327C45" w:rsidRPr="00327C45" w:rsidRDefault="00327C45" w:rsidP="00327C45">
      <w:pPr>
        <w:pBdr>
          <w:top w:val="single" w:sz="4" w:space="1" w:color="auto"/>
          <w:left w:val="single" w:sz="4" w:space="4" w:color="auto"/>
          <w:bottom w:val="single" w:sz="4" w:space="1" w:color="auto"/>
          <w:right w:val="single" w:sz="4" w:space="4" w:color="auto"/>
        </w:pBdr>
        <w:spacing w:before="8" w:after="0" w:line="240" w:lineRule="auto"/>
        <w:jc w:val="center"/>
        <w:rPr>
          <w:rFonts w:ascii="Times New Roman" w:eastAsia="Times New Roman" w:hAnsi="Times New Roman" w:cs="Times New Roman"/>
          <w:b/>
          <w:sz w:val="26"/>
        </w:rPr>
      </w:pPr>
      <w:r w:rsidRPr="00327C45">
        <w:rPr>
          <w:rFonts w:ascii="Times New Roman" w:eastAsia="Times New Roman" w:hAnsi="Times New Roman" w:cs="Times New Roman"/>
          <w:b/>
          <w:sz w:val="26"/>
        </w:rPr>
        <w:t>THIS RECOMMENDATION IS MADE AS PERMITTED UNDER FIFRA AND HAS NOT BEEN SUBMITTED TO OR APPROVED BY THE EPA.</w:t>
      </w:r>
    </w:p>
    <w:p w14:paraId="282C51EB" w14:textId="77777777" w:rsidR="00327C45" w:rsidRPr="00327C45" w:rsidRDefault="00327C45" w:rsidP="00327C45">
      <w:pPr>
        <w:pBdr>
          <w:top w:val="single" w:sz="4" w:space="1" w:color="auto"/>
          <w:left w:val="single" w:sz="4" w:space="4" w:color="auto"/>
          <w:bottom w:val="single" w:sz="4" w:space="1" w:color="auto"/>
          <w:right w:val="single" w:sz="4" w:space="4" w:color="auto"/>
        </w:pBdr>
        <w:spacing w:before="8" w:after="0" w:line="240" w:lineRule="auto"/>
        <w:jc w:val="center"/>
        <w:rPr>
          <w:rFonts w:ascii="Times New Roman" w:eastAsia="Times New Roman" w:hAnsi="Times New Roman" w:cs="Times New Roman"/>
          <w:bCs/>
          <w:sz w:val="26"/>
        </w:rPr>
      </w:pPr>
      <w:r w:rsidRPr="00327C45">
        <w:rPr>
          <w:rFonts w:ascii="Times New Roman" w:eastAsia="Times New Roman" w:hAnsi="Times New Roman" w:cs="Times New Roman"/>
          <w:bCs/>
          <w:sz w:val="26"/>
        </w:rPr>
        <w:t>READ AND FOLLOW THE ENTIRE LABEL FOR THIS PRODUCT BEFORE</w:t>
      </w:r>
    </w:p>
    <w:p w14:paraId="474F6230" w14:textId="77777777" w:rsidR="00327C45" w:rsidRPr="00327C45" w:rsidRDefault="00327C45" w:rsidP="00327C45">
      <w:pPr>
        <w:pBdr>
          <w:top w:val="single" w:sz="4" w:space="1" w:color="auto"/>
          <w:left w:val="single" w:sz="4" w:space="4" w:color="auto"/>
          <w:bottom w:val="single" w:sz="4" w:space="1" w:color="auto"/>
          <w:right w:val="single" w:sz="4" w:space="4" w:color="auto"/>
        </w:pBdr>
        <w:spacing w:before="8" w:after="0" w:line="240" w:lineRule="auto"/>
        <w:jc w:val="center"/>
        <w:rPr>
          <w:rFonts w:ascii="Times New Roman" w:eastAsia="Times New Roman" w:hAnsi="Times New Roman" w:cs="Times New Roman"/>
          <w:bCs/>
          <w:sz w:val="26"/>
        </w:rPr>
      </w:pPr>
      <w:r w:rsidRPr="00327C45">
        <w:rPr>
          <w:rFonts w:ascii="Times New Roman" w:eastAsia="Times New Roman" w:hAnsi="Times New Roman" w:cs="Times New Roman"/>
          <w:bCs/>
          <w:sz w:val="26"/>
        </w:rPr>
        <w:t>PROCEEDING WITH THE USE DIRECTIONS CONTAINED IN THIS LABELING.</w:t>
      </w:r>
    </w:p>
    <w:p w14:paraId="66EF0BFA" w14:textId="77777777" w:rsidR="00327C45" w:rsidRDefault="00327C45" w:rsidP="00327C45">
      <w:pPr>
        <w:spacing w:before="8" w:after="0" w:line="240" w:lineRule="auto"/>
        <w:rPr>
          <w:rFonts w:ascii="Times New Roman" w:eastAsia="Times New Roman" w:hAnsi="Times New Roman" w:cs="Times New Roman"/>
          <w:sz w:val="26"/>
        </w:rPr>
      </w:pPr>
    </w:p>
    <w:p w14:paraId="59CC2CCD" w14:textId="77777777" w:rsidR="006E6BDF" w:rsidRDefault="006E6BDF" w:rsidP="006A47AA">
      <w:pPr>
        <w:spacing w:before="66" w:after="0" w:line="240" w:lineRule="auto"/>
        <w:rPr>
          <w:rFonts w:ascii="Arial" w:eastAsia="Arial" w:hAnsi="Arial" w:cs="Arial"/>
          <w:bCs/>
          <w:sz w:val="20"/>
        </w:rPr>
      </w:pPr>
      <w:r w:rsidRPr="006A47AA">
        <w:rPr>
          <w:rFonts w:ascii="Arial" w:eastAsia="Arial" w:hAnsi="Arial" w:cs="Arial"/>
          <w:bCs/>
          <w:sz w:val="20"/>
        </w:rPr>
        <w:t>IT IS A VIOLATION OF FEDERAL LAW TO USE THIS PRODUCT IN A MANNER INCONSISTENT WITH ITS LABELING</w:t>
      </w:r>
    </w:p>
    <w:p w14:paraId="2114B6AE" w14:textId="3CD8CF36" w:rsidR="006A47AA" w:rsidRDefault="006A47AA" w:rsidP="006A47AA">
      <w:pPr>
        <w:spacing w:before="66" w:after="0" w:line="240" w:lineRule="auto"/>
        <w:rPr>
          <w:rFonts w:ascii="Arial" w:eastAsia="Arial" w:hAnsi="Arial" w:cs="Arial"/>
          <w:bCs/>
          <w:sz w:val="20"/>
        </w:rPr>
      </w:pPr>
      <w:r>
        <w:rPr>
          <w:rFonts w:ascii="Arial" w:eastAsia="Arial" w:hAnsi="Arial" w:cs="Arial"/>
          <w:bCs/>
          <w:sz w:val="20"/>
        </w:rPr>
        <w:t>This label must be in possession of the user at the time of application</w:t>
      </w:r>
    </w:p>
    <w:p w14:paraId="5125FF3C" w14:textId="77777777" w:rsidR="006A47AA" w:rsidRDefault="006A47AA" w:rsidP="006A47AA">
      <w:pPr>
        <w:spacing w:before="66" w:after="0" w:line="240" w:lineRule="auto"/>
        <w:rPr>
          <w:rFonts w:ascii="Arial" w:eastAsia="Arial" w:hAnsi="Arial" w:cs="Arial"/>
          <w:bCs/>
          <w:sz w:val="20"/>
        </w:rPr>
      </w:pPr>
    </w:p>
    <w:p w14:paraId="70EC5866" w14:textId="1AD3F9E1" w:rsidR="006A47AA" w:rsidRPr="006A47AA" w:rsidRDefault="006A47AA" w:rsidP="006A47AA">
      <w:pPr>
        <w:spacing w:before="66" w:after="0" w:line="240" w:lineRule="auto"/>
        <w:rPr>
          <w:rFonts w:ascii="Arial" w:eastAsia="Arial" w:hAnsi="Arial" w:cs="Arial"/>
          <w:bCs/>
          <w:sz w:val="20"/>
        </w:rPr>
      </w:pPr>
      <w:r w:rsidRPr="006A47AA">
        <w:rPr>
          <w:rFonts w:ascii="Arial" w:eastAsia="Arial" w:hAnsi="Arial" w:cs="Arial"/>
          <w:bCs/>
          <w:sz w:val="20"/>
        </w:rPr>
        <w:t>ALL APPLICABLE DIRECTIONS, RESTRICTIONS AND PRECAUTIONS IN THE PRODUCT LABEL BOOKLET MUST</w:t>
      </w:r>
    </w:p>
    <w:p w14:paraId="3608472D" w14:textId="77777777" w:rsidR="006A47AA" w:rsidRPr="006A47AA" w:rsidRDefault="006A47AA" w:rsidP="006A47AA">
      <w:pPr>
        <w:spacing w:before="66" w:after="0" w:line="240" w:lineRule="auto"/>
        <w:rPr>
          <w:rFonts w:ascii="Arial" w:eastAsia="Arial" w:hAnsi="Arial" w:cs="Arial"/>
          <w:bCs/>
          <w:sz w:val="20"/>
        </w:rPr>
      </w:pPr>
      <w:r w:rsidRPr="006A47AA">
        <w:rPr>
          <w:rFonts w:ascii="Arial" w:eastAsia="Arial" w:hAnsi="Arial" w:cs="Arial"/>
          <w:bCs/>
          <w:sz w:val="20"/>
        </w:rPr>
        <w:t>BE FOLLOWED, INCLUDING STATEMENTS PERTAINING TO THE WORKER PROTECTION STANDARDS, ON THE</w:t>
      </w:r>
    </w:p>
    <w:p w14:paraId="3C194C08" w14:textId="769F6894" w:rsidR="006A47AA" w:rsidRDefault="006A47AA" w:rsidP="006A47AA">
      <w:pPr>
        <w:spacing w:before="66" w:after="0" w:line="240" w:lineRule="auto"/>
        <w:rPr>
          <w:rFonts w:ascii="Arial" w:eastAsia="Arial" w:hAnsi="Arial" w:cs="Arial"/>
          <w:bCs/>
          <w:sz w:val="20"/>
        </w:rPr>
      </w:pPr>
      <w:r w:rsidRPr="006A47AA">
        <w:rPr>
          <w:rFonts w:ascii="Arial" w:eastAsia="Arial" w:hAnsi="Arial" w:cs="Arial"/>
          <w:bCs/>
          <w:sz w:val="20"/>
        </w:rPr>
        <w:t>REGISTERED LABEL</w:t>
      </w:r>
    </w:p>
    <w:p w14:paraId="599954A8" w14:textId="77777777" w:rsidR="005F2CD3" w:rsidRDefault="005F2CD3" w:rsidP="006A47AA">
      <w:pPr>
        <w:spacing w:before="66" w:after="0" w:line="240" w:lineRule="auto"/>
        <w:rPr>
          <w:rFonts w:ascii="Arial" w:eastAsia="Arial" w:hAnsi="Arial" w:cs="Arial"/>
          <w:bCs/>
          <w:sz w:val="20"/>
        </w:rPr>
      </w:pPr>
    </w:p>
    <w:p w14:paraId="274094C4" w14:textId="77777777" w:rsidR="005F2CD3" w:rsidRPr="005F2CD3" w:rsidRDefault="005F2CD3" w:rsidP="005F2CD3">
      <w:pPr>
        <w:autoSpaceDE w:val="0"/>
        <w:autoSpaceDN w:val="0"/>
        <w:adjustRightInd w:val="0"/>
        <w:spacing w:after="0" w:line="240" w:lineRule="auto"/>
        <w:rPr>
          <w:rFonts w:ascii="Arial" w:eastAsia="Aptos" w:hAnsi="Arial" w:cs="Arial"/>
          <w:b/>
          <w:bCs/>
          <w14:ligatures w14:val="standardContextual"/>
        </w:rPr>
      </w:pPr>
      <w:r w:rsidRPr="005F2CD3">
        <w:rPr>
          <w:rFonts w:ascii="Arial" w:eastAsia="Aptos" w:hAnsi="Arial" w:cs="Arial"/>
          <w:b/>
          <w:bCs/>
          <w14:ligatures w14:val="standardContextual"/>
        </w:rPr>
        <w:t>General Requirements for Chemigation</w:t>
      </w:r>
    </w:p>
    <w:p w14:paraId="7397F253" w14:textId="77777777" w:rsidR="005F2CD3" w:rsidRPr="005F2CD3" w:rsidRDefault="005F2CD3" w:rsidP="005F2CD3">
      <w:pPr>
        <w:numPr>
          <w:ilvl w:val="0"/>
          <w:numId w:val="2"/>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Apply this product only through sprinkler including center pivot, lateral move, end tow, side (wheel) roll, traveler, big gun, solid set, or hand move; floor (basin); furrow; border or drip (trickle) irrigation systems. Do not apply this product through any other type of irrigation system.</w:t>
      </w:r>
    </w:p>
    <w:p w14:paraId="2738532A" w14:textId="68295AF7" w:rsidR="005F2CD3" w:rsidRPr="005F2CD3" w:rsidRDefault="003E28C3" w:rsidP="005F2CD3">
      <w:pPr>
        <w:numPr>
          <w:ilvl w:val="0"/>
          <w:numId w:val="2"/>
        </w:numPr>
        <w:autoSpaceDE w:val="0"/>
        <w:autoSpaceDN w:val="0"/>
        <w:adjustRightInd w:val="0"/>
        <w:spacing w:after="0" w:line="240" w:lineRule="auto"/>
        <w:contextualSpacing/>
        <w:rPr>
          <w:rFonts w:ascii="Arial" w:eastAsia="Aptos" w:hAnsi="Arial" w:cs="Arial"/>
          <w14:ligatures w14:val="standardContextual"/>
        </w:rPr>
      </w:pPr>
      <w:r>
        <w:rPr>
          <w:rFonts w:ascii="Arial" w:eastAsia="Aptos" w:hAnsi="Arial" w:cs="Arial"/>
          <w14:ligatures w14:val="standardContextual"/>
        </w:rPr>
        <w:t>L</w:t>
      </w:r>
      <w:r w:rsidR="005F2CD3" w:rsidRPr="005F2CD3">
        <w:rPr>
          <w:rFonts w:ascii="Arial" w:eastAsia="Aptos" w:hAnsi="Arial" w:cs="Arial"/>
          <w14:ligatures w14:val="standardContextual"/>
        </w:rPr>
        <w:t>ack of effectiveness, can result from nonuniform distribution of treated water.</w:t>
      </w:r>
    </w:p>
    <w:p w14:paraId="36DB3339" w14:textId="77777777" w:rsidR="005F2CD3" w:rsidRPr="005F2CD3" w:rsidRDefault="005F2CD3" w:rsidP="005F2CD3">
      <w:pPr>
        <w:numPr>
          <w:ilvl w:val="0"/>
          <w:numId w:val="2"/>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If you have questions about calibration, you should contact State Extension Service specialists, equipment manufacturers or other experts. Do not connect an irrigation system (including greenhouse systems) used for pesticide application to a public water system unless the pesticide label-prescribed safety devices for public water systems are in place.</w:t>
      </w:r>
    </w:p>
    <w:p w14:paraId="1248D7B1" w14:textId="77777777" w:rsidR="005F2CD3" w:rsidRPr="005F2CD3" w:rsidRDefault="005F2CD3" w:rsidP="005F2CD3">
      <w:pPr>
        <w:numPr>
          <w:ilvl w:val="0"/>
          <w:numId w:val="2"/>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A person knowledgeable of the chemigation system and responsible for its operation or under the supervision of the responsible person, shall shut the system down and make necessary adjustments should the need arise.</w:t>
      </w:r>
    </w:p>
    <w:p w14:paraId="0F876DCE" w14:textId="77777777" w:rsidR="005F2CD3" w:rsidRPr="005F2CD3" w:rsidRDefault="005F2CD3" w:rsidP="005F2CD3">
      <w:pPr>
        <w:autoSpaceDE w:val="0"/>
        <w:autoSpaceDN w:val="0"/>
        <w:adjustRightInd w:val="0"/>
        <w:spacing w:after="0" w:line="240" w:lineRule="auto"/>
        <w:rPr>
          <w:rFonts w:ascii="Arial" w:eastAsia="Aptos" w:hAnsi="Arial" w:cs="Arial"/>
          <w14:ligatures w14:val="standardContextual"/>
        </w:rPr>
      </w:pPr>
    </w:p>
    <w:p w14:paraId="598C3CC5" w14:textId="77777777" w:rsidR="005F2CD3" w:rsidRPr="005F2CD3" w:rsidRDefault="005F2CD3" w:rsidP="005F2CD3">
      <w:pPr>
        <w:autoSpaceDE w:val="0"/>
        <w:autoSpaceDN w:val="0"/>
        <w:adjustRightInd w:val="0"/>
        <w:spacing w:after="0" w:line="240" w:lineRule="auto"/>
        <w:rPr>
          <w:rFonts w:ascii="Arial" w:eastAsia="Aptos" w:hAnsi="Arial" w:cs="Arial"/>
          <w:b/>
          <w:bCs/>
          <w14:ligatures w14:val="standardContextual"/>
        </w:rPr>
      </w:pPr>
      <w:r w:rsidRPr="005F2CD3">
        <w:rPr>
          <w:rFonts w:ascii="Arial" w:eastAsia="Aptos" w:hAnsi="Arial" w:cs="Arial"/>
          <w:b/>
          <w:bCs/>
          <w14:ligatures w14:val="standardContextual"/>
        </w:rPr>
        <w:t>Requirements for Chemigation Systems Connected to Public Water Systems:</w:t>
      </w:r>
    </w:p>
    <w:p w14:paraId="74042F99" w14:textId="77777777" w:rsidR="005F2CD3" w:rsidRPr="005F2CD3" w:rsidRDefault="005F2CD3" w:rsidP="005F2CD3">
      <w:pPr>
        <w:numPr>
          <w:ilvl w:val="0"/>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Public water system means a system for the provision to the public of piped water for human consumption if such system has at least 15 service connections or regular serves an average of at least 25 individuals daily at least 60 days out of the year.</w:t>
      </w:r>
    </w:p>
    <w:p w14:paraId="5FA2FF36" w14:textId="77777777" w:rsidR="005F2CD3" w:rsidRPr="005F2CD3" w:rsidRDefault="005F2CD3" w:rsidP="005F2CD3">
      <w:pPr>
        <w:numPr>
          <w:ilvl w:val="0"/>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Chemigation systems connected to public water systems must contain a functional,reduced-pressure zone, backflow preventer (RPZ) or the functional equivalent in the water supply line upstream from the point of pesticide introduction As an option to the RPZ, the water from the public water system should be discharged into a reservoir tank prior to pesticide introduction. There shall be a complete physical break (air gap) between the flow outlet end of the fill pipe and the top or overflow rim of the reservoir tank of at least twice the inside diameter of the fill pipe.</w:t>
      </w:r>
    </w:p>
    <w:p w14:paraId="0B259390" w14:textId="77777777" w:rsidR="005F2CD3" w:rsidRPr="005F2CD3" w:rsidRDefault="005F2CD3" w:rsidP="005F2CD3">
      <w:pPr>
        <w:numPr>
          <w:ilvl w:val="0"/>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pesticide injection pipeline must contain a functional, automatic, quick-closing check valve to prevent the flow of fluid back toward the injection.</w:t>
      </w:r>
    </w:p>
    <w:p w14:paraId="3B9A9FBA" w14:textId="77777777" w:rsidR="005F2CD3" w:rsidRPr="005F2CD3" w:rsidRDefault="005F2CD3" w:rsidP="005F2CD3">
      <w:pPr>
        <w:numPr>
          <w:ilvl w:val="0"/>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pesticide injection pipeline must contain a functional, normally closed, solenoid-operated valve located on the intake side of the injection pump and connected to the system interlock to prevent fluid from being withdrawn from the supply tank when the irrigation system is either automatically or manually shut down.</w:t>
      </w:r>
    </w:p>
    <w:p w14:paraId="35EE870D" w14:textId="77777777" w:rsidR="005F2CD3" w:rsidRPr="005F2CD3" w:rsidRDefault="005F2CD3" w:rsidP="005F2CD3">
      <w:pPr>
        <w:numPr>
          <w:ilvl w:val="0"/>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system must contain functional interlocking controls to automatically shut off the pesticide injection pump when the water pump motor stops, or in cases where there is no water pump, when the water pressure decreases to the point where pesticide distribution is adversely affected."</w:t>
      </w:r>
    </w:p>
    <w:p w14:paraId="1ABFC774" w14:textId="77777777" w:rsidR="005F2CD3" w:rsidRPr="005F2CD3" w:rsidRDefault="005F2CD3" w:rsidP="005F2CD3">
      <w:pPr>
        <w:numPr>
          <w:ilvl w:val="0"/>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lastRenderedPageBreak/>
        <w:t>Systems must use a metering pump, such as a positive displacement injection pump (e.g., diaphragm pump) effectively designed and constructed of materials that are compatible with pesticides and capable of being fitted with a system interlock.</w:t>
      </w:r>
    </w:p>
    <w:p w14:paraId="4A537CCA" w14:textId="77777777" w:rsidR="005F2CD3" w:rsidRPr="005F2CD3" w:rsidRDefault="005F2CD3" w:rsidP="005F2CD3">
      <w:pPr>
        <w:numPr>
          <w:ilvl w:val="0"/>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Do not apply when wind speed favors drift beyond the area intended for treatment.</w:t>
      </w:r>
    </w:p>
    <w:p w14:paraId="7FE72E71" w14:textId="77777777" w:rsidR="005F2CD3" w:rsidRPr="005F2CD3" w:rsidRDefault="005F2CD3" w:rsidP="005F2CD3">
      <w:pPr>
        <w:numPr>
          <w:ilvl w:val="0"/>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Agitation is required.</w:t>
      </w:r>
    </w:p>
    <w:p w14:paraId="62ED95D1" w14:textId="77777777" w:rsidR="005F2CD3" w:rsidRPr="005F2CD3" w:rsidRDefault="005F2CD3" w:rsidP="005F2CD3">
      <w:pPr>
        <w:numPr>
          <w:ilvl w:val="0"/>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 xml:space="preserve">First prepare a suspension of KitoGard in the supply tank by filling the tank with 1/2 to 3/4 the desired amount of water. </w:t>
      </w:r>
    </w:p>
    <w:p w14:paraId="4F995B00" w14:textId="77777777" w:rsidR="005F2CD3" w:rsidRPr="005F2CD3" w:rsidRDefault="005F2CD3" w:rsidP="005F2CD3">
      <w:pPr>
        <w:numPr>
          <w:ilvl w:val="1"/>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 xml:space="preserve">Start mechanical or hydraulic agitation. </w:t>
      </w:r>
    </w:p>
    <w:p w14:paraId="4944F44E" w14:textId="77777777" w:rsidR="005F2CD3" w:rsidRPr="005F2CD3" w:rsidRDefault="005F2CD3" w:rsidP="005F2CD3">
      <w:pPr>
        <w:numPr>
          <w:ilvl w:val="1"/>
          <w:numId w:val="3"/>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Add the required amount of KitoGard and then the remaining volume of water.</w:t>
      </w:r>
    </w:p>
    <w:p w14:paraId="755D1DFD" w14:textId="77777777" w:rsidR="005F2CD3" w:rsidRPr="005F2CD3" w:rsidRDefault="005F2CD3" w:rsidP="005F2CD3">
      <w:pPr>
        <w:autoSpaceDE w:val="0"/>
        <w:autoSpaceDN w:val="0"/>
        <w:adjustRightInd w:val="0"/>
        <w:spacing w:after="0" w:line="240" w:lineRule="auto"/>
        <w:rPr>
          <w:rFonts w:ascii="Arial" w:eastAsia="Aptos" w:hAnsi="Arial" w:cs="Arial"/>
          <w14:ligatures w14:val="standardContextual"/>
        </w:rPr>
      </w:pPr>
    </w:p>
    <w:p w14:paraId="105461F5" w14:textId="77777777" w:rsidR="005F2CD3" w:rsidRPr="005F2CD3" w:rsidRDefault="005F2CD3" w:rsidP="005F2CD3">
      <w:pPr>
        <w:autoSpaceDE w:val="0"/>
        <w:autoSpaceDN w:val="0"/>
        <w:adjustRightInd w:val="0"/>
        <w:spacing w:after="0" w:line="240" w:lineRule="auto"/>
        <w:rPr>
          <w:rFonts w:ascii="Arial" w:eastAsia="Aptos" w:hAnsi="Arial" w:cs="Arial"/>
          <w14:ligatures w14:val="standardContextual"/>
        </w:rPr>
      </w:pPr>
      <w:r w:rsidRPr="005F2CD3">
        <w:rPr>
          <w:rFonts w:ascii="Arial" w:eastAsia="Aptos" w:hAnsi="Arial" w:cs="Arial"/>
          <w:b/>
          <w:bCs/>
          <w14:ligatures w14:val="standardContextual"/>
        </w:rPr>
        <w:t>Sprinkler Chemigation Requirements</w:t>
      </w:r>
    </w:p>
    <w:p w14:paraId="103EAEFA" w14:textId="77777777" w:rsidR="005F2CD3" w:rsidRPr="005F2CD3" w:rsidRDefault="005F2CD3" w:rsidP="005F2CD3">
      <w:pPr>
        <w:numPr>
          <w:ilvl w:val="0"/>
          <w:numId w:val="4"/>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system must contain a functional check valve, vacuum relief valve, and low pressure drain appropriately located on the irrigation pipeline to prevent water source contamination from backflow.</w:t>
      </w:r>
    </w:p>
    <w:p w14:paraId="4FCB5E6C" w14:textId="77777777" w:rsidR="005F2CD3" w:rsidRPr="005F2CD3" w:rsidRDefault="005F2CD3" w:rsidP="005F2CD3">
      <w:pPr>
        <w:numPr>
          <w:ilvl w:val="0"/>
          <w:numId w:val="4"/>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pesticide injection pipeline must contain a functional, automatic, quick-closing check valve to prevent the flow of fluid back toward the injection pump.</w:t>
      </w:r>
    </w:p>
    <w:p w14:paraId="47F23884" w14:textId="77777777" w:rsidR="005F2CD3" w:rsidRPr="005F2CD3" w:rsidRDefault="005F2CD3" w:rsidP="005F2CD3">
      <w:pPr>
        <w:numPr>
          <w:ilvl w:val="0"/>
          <w:numId w:val="4"/>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pesticide injection pipeline must also contain a functional, normally closed, solenoid-operated valve located on the intake side of the injection pump and connected to the system interlock to prevent fluid from being withdrawn from the supply tank when the irrigation system is either automatically or manually shut down.</w:t>
      </w:r>
    </w:p>
    <w:p w14:paraId="326EED48" w14:textId="77777777" w:rsidR="005F2CD3" w:rsidRPr="005F2CD3" w:rsidRDefault="005F2CD3" w:rsidP="005F2CD3">
      <w:pPr>
        <w:numPr>
          <w:ilvl w:val="0"/>
          <w:numId w:val="4"/>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system must contain functional interlocking controls to automatically shut off the pesticide injection pump when the water pump motor stops.</w:t>
      </w:r>
    </w:p>
    <w:p w14:paraId="6491A803" w14:textId="77777777" w:rsidR="005F2CD3" w:rsidRPr="005F2CD3" w:rsidRDefault="005F2CD3" w:rsidP="005F2CD3">
      <w:pPr>
        <w:numPr>
          <w:ilvl w:val="0"/>
          <w:numId w:val="4"/>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irrigation line or water pump must include a functional pressure switch which will stop the water pump motor when the water pressure decreases to the point where pesticide distribution is adversely affected.</w:t>
      </w:r>
    </w:p>
    <w:p w14:paraId="42E77885" w14:textId="77777777" w:rsidR="005F2CD3" w:rsidRPr="005F2CD3" w:rsidRDefault="005F2CD3" w:rsidP="005F2CD3">
      <w:pPr>
        <w:numPr>
          <w:ilvl w:val="0"/>
          <w:numId w:val="4"/>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Systems must use a metering pump, such as a positive displacement injection pump (e.g., diaphragm pump) effectively designed and constructed of materials that are compatible with pesticides and capable of being fitted with a system interlock.</w:t>
      </w:r>
    </w:p>
    <w:p w14:paraId="450762B4" w14:textId="77777777" w:rsidR="005F2CD3" w:rsidRPr="005F2CD3" w:rsidRDefault="005F2CD3" w:rsidP="005F2CD3">
      <w:pPr>
        <w:numPr>
          <w:ilvl w:val="0"/>
          <w:numId w:val="4"/>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For center pivot and other continuously moving sprinkler systems, set system to apply 0.1 to 0.3 inches of water with the required amount of mixture evenly and continuously throughout the irrigation cycle.</w:t>
      </w:r>
    </w:p>
    <w:p w14:paraId="47626BCE" w14:textId="77777777" w:rsidR="005F2CD3" w:rsidRPr="005F2CD3" w:rsidRDefault="005F2CD3" w:rsidP="005F2CD3">
      <w:pPr>
        <w:numPr>
          <w:ilvl w:val="0"/>
          <w:numId w:val="4"/>
        </w:numPr>
        <w:spacing w:line="278" w:lineRule="auto"/>
        <w:contextualSpacing/>
        <w:rPr>
          <w:rFonts w:ascii="Arial" w:eastAsia="Aptos" w:hAnsi="Arial" w:cs="Arial"/>
          <w14:ligatures w14:val="standardContextual"/>
        </w:rPr>
      </w:pPr>
      <w:r w:rsidRPr="005F2CD3">
        <w:rPr>
          <w:rFonts w:ascii="Arial" w:eastAsia="Aptos" w:hAnsi="Arial" w:cs="Arial"/>
          <w14:ligatures w14:val="standardContextual"/>
        </w:rPr>
        <w:t>Do not apply when wind speed favors drift beyond the area intended for treatment.</w:t>
      </w:r>
    </w:p>
    <w:p w14:paraId="37AF7891" w14:textId="77777777" w:rsidR="005F2CD3" w:rsidRDefault="005F2CD3" w:rsidP="005F2CD3">
      <w:pPr>
        <w:autoSpaceDE w:val="0"/>
        <w:autoSpaceDN w:val="0"/>
        <w:adjustRightInd w:val="0"/>
        <w:spacing w:after="0" w:line="240" w:lineRule="auto"/>
        <w:rPr>
          <w:rFonts w:ascii="Arial" w:eastAsia="Aptos" w:hAnsi="Arial" w:cs="Arial"/>
          <w:b/>
          <w:bCs/>
          <w14:ligatures w14:val="standardContextual"/>
        </w:rPr>
      </w:pPr>
    </w:p>
    <w:p w14:paraId="25CEA491" w14:textId="0D635B3A" w:rsidR="005F2CD3" w:rsidRPr="005F2CD3" w:rsidRDefault="005F2CD3" w:rsidP="005F2CD3">
      <w:pPr>
        <w:autoSpaceDE w:val="0"/>
        <w:autoSpaceDN w:val="0"/>
        <w:adjustRightInd w:val="0"/>
        <w:spacing w:after="0" w:line="240" w:lineRule="auto"/>
        <w:rPr>
          <w:rFonts w:ascii="Arial" w:eastAsia="Aptos" w:hAnsi="Arial" w:cs="Arial"/>
          <w:b/>
          <w:bCs/>
          <w14:ligatures w14:val="standardContextual"/>
        </w:rPr>
      </w:pPr>
      <w:r w:rsidRPr="005F2CD3">
        <w:rPr>
          <w:rFonts w:ascii="Arial" w:eastAsia="Aptos" w:hAnsi="Arial" w:cs="Arial"/>
          <w:b/>
          <w:bCs/>
          <w14:ligatures w14:val="standardContextual"/>
        </w:rPr>
        <w:t>Drip (Trickle) Chemigation and Micro-irrigation Requirements:</w:t>
      </w:r>
    </w:p>
    <w:p w14:paraId="038C0348" w14:textId="77777777" w:rsidR="005F2CD3" w:rsidRPr="005F2CD3" w:rsidRDefault="005F2CD3" w:rsidP="005F2CD3">
      <w:pPr>
        <w:numPr>
          <w:ilvl w:val="0"/>
          <w:numId w:val="5"/>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system must contain a functional check valve; vacuum relief valve and low pressure drain appropriately located on the irrigation pipeline to prevent water source contamination from backflow.</w:t>
      </w:r>
    </w:p>
    <w:p w14:paraId="2D6681E7" w14:textId="77777777" w:rsidR="005F2CD3" w:rsidRPr="005F2CD3" w:rsidRDefault="005F2CD3" w:rsidP="005F2CD3">
      <w:pPr>
        <w:numPr>
          <w:ilvl w:val="0"/>
          <w:numId w:val="5"/>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pesticide injection pipeline must contain a functional, automatic, quick-closing check valve to prevent the flow of fluid back toward the injection pump.</w:t>
      </w:r>
    </w:p>
    <w:p w14:paraId="50923CDB" w14:textId="77777777" w:rsidR="005F2CD3" w:rsidRPr="005F2CD3" w:rsidRDefault="005F2CD3" w:rsidP="005F2CD3">
      <w:pPr>
        <w:numPr>
          <w:ilvl w:val="0"/>
          <w:numId w:val="5"/>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pesticide injection pipeline must also contain a functional, normally closed, solenoid-operated valve located on the intake side of the injection pump and connected to the system interlock to prevent fluid from being withdrawn from the supply tank when the irrigation system is either automatically or manually shut down.</w:t>
      </w:r>
    </w:p>
    <w:p w14:paraId="15357168" w14:textId="77777777" w:rsidR="005F2CD3" w:rsidRPr="005F2CD3" w:rsidRDefault="005F2CD3" w:rsidP="005F2CD3">
      <w:pPr>
        <w:numPr>
          <w:ilvl w:val="0"/>
          <w:numId w:val="5"/>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system must contain functional inter-locking controls to automatically shut off the pesticide injection pump when the water pump motor stops.</w:t>
      </w:r>
    </w:p>
    <w:p w14:paraId="3E4C6013" w14:textId="77777777" w:rsidR="005F2CD3" w:rsidRPr="005F2CD3" w:rsidRDefault="005F2CD3" w:rsidP="005F2CD3">
      <w:pPr>
        <w:numPr>
          <w:ilvl w:val="0"/>
          <w:numId w:val="5"/>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The irrigation line or water pump must include a functional pressure switch which will stop the water pump motor when the water pressure decreases to the point where pesticide distribution is adversely affected.</w:t>
      </w:r>
    </w:p>
    <w:p w14:paraId="130E82B6" w14:textId="77777777" w:rsidR="005F2CD3" w:rsidRPr="005F2CD3" w:rsidRDefault="005F2CD3" w:rsidP="005F2CD3">
      <w:pPr>
        <w:numPr>
          <w:ilvl w:val="0"/>
          <w:numId w:val="5"/>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Systems must use a metering pump such as a positive displacement injection pump (e.g., diaphragm pump) effectively designed and constructed of materials that are compatible with pesticides and capable of being fitted with a system interlock.</w:t>
      </w:r>
    </w:p>
    <w:p w14:paraId="2EB9305F" w14:textId="77777777" w:rsidR="005F2CD3" w:rsidRPr="005F2CD3" w:rsidRDefault="005F2CD3" w:rsidP="005F2CD3">
      <w:pPr>
        <w:numPr>
          <w:ilvl w:val="0"/>
          <w:numId w:val="5"/>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 xml:space="preserve">First prepare a suspension of KitoGard in the supply tank by filling the tank with 1/2 to 3/4 the desired amount of water. </w:t>
      </w:r>
    </w:p>
    <w:p w14:paraId="11818574" w14:textId="77777777" w:rsidR="005F2CD3" w:rsidRPr="005F2CD3" w:rsidRDefault="005F2CD3" w:rsidP="005F2CD3">
      <w:pPr>
        <w:numPr>
          <w:ilvl w:val="0"/>
          <w:numId w:val="8"/>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 xml:space="preserve">Start mechanical or hydraulic agitation. </w:t>
      </w:r>
    </w:p>
    <w:p w14:paraId="30E97DEC" w14:textId="77777777" w:rsidR="005F2CD3" w:rsidRPr="005F2CD3" w:rsidRDefault="005F2CD3" w:rsidP="005F2CD3">
      <w:pPr>
        <w:numPr>
          <w:ilvl w:val="0"/>
          <w:numId w:val="8"/>
        </w:numPr>
        <w:autoSpaceDE w:val="0"/>
        <w:autoSpaceDN w:val="0"/>
        <w:adjustRightInd w:val="0"/>
        <w:spacing w:after="0" w:line="240" w:lineRule="auto"/>
        <w:contextualSpacing/>
        <w:rPr>
          <w:rFonts w:ascii="Arial" w:eastAsia="Aptos" w:hAnsi="Arial" w:cs="Arial"/>
          <w14:ligatures w14:val="standardContextual"/>
        </w:rPr>
      </w:pPr>
      <w:r w:rsidRPr="005F2CD3">
        <w:rPr>
          <w:rFonts w:ascii="Arial" w:eastAsia="Aptos" w:hAnsi="Arial" w:cs="Arial"/>
          <w14:ligatures w14:val="standardContextual"/>
        </w:rPr>
        <w:t>Add the required amount of KitoGard and then the remaining volume of water.</w:t>
      </w:r>
    </w:p>
    <w:p w14:paraId="089084DB" w14:textId="77777777" w:rsidR="005F2CD3" w:rsidRPr="005F2CD3" w:rsidRDefault="005F2CD3" w:rsidP="005F2CD3">
      <w:pPr>
        <w:numPr>
          <w:ilvl w:val="0"/>
          <w:numId w:val="5"/>
        </w:numPr>
        <w:spacing w:line="278" w:lineRule="auto"/>
        <w:contextualSpacing/>
        <w:rPr>
          <w:rFonts w:ascii="Arial" w:eastAsia="Aptos" w:hAnsi="Arial" w:cs="Arial"/>
          <w14:ligatures w14:val="standardContextual"/>
        </w:rPr>
      </w:pPr>
      <w:r w:rsidRPr="005F2CD3">
        <w:rPr>
          <w:rFonts w:ascii="Arial" w:eastAsia="Aptos" w:hAnsi="Arial" w:cs="Arial"/>
          <w14:ligatures w14:val="standardContextual"/>
        </w:rPr>
        <w:t>Introduce the correct amount of KitoGard mixture from the supply tank into the irrigation water during the middle one-third of the irrigation cycle.</w:t>
      </w:r>
    </w:p>
    <w:p w14:paraId="2B4568ED" w14:textId="77777777" w:rsidR="005F2CD3" w:rsidRPr="005F2CD3" w:rsidRDefault="005F2CD3" w:rsidP="005F2CD3">
      <w:pPr>
        <w:autoSpaceDE w:val="0"/>
        <w:autoSpaceDN w:val="0"/>
        <w:adjustRightInd w:val="0"/>
        <w:spacing w:after="0" w:line="240" w:lineRule="auto"/>
        <w:rPr>
          <w:rFonts w:ascii="Arial" w:eastAsia="Aptos" w:hAnsi="Arial" w:cs="Arial"/>
          <w:b/>
          <w:bCs/>
          <w14:ligatures w14:val="standardContextual"/>
        </w:rPr>
      </w:pPr>
      <w:r w:rsidRPr="005F2CD3">
        <w:rPr>
          <w:rFonts w:ascii="Arial" w:eastAsia="Aptos" w:hAnsi="Arial" w:cs="Arial"/>
          <w:b/>
          <w:bCs/>
          <w14:ligatures w14:val="standardContextual"/>
        </w:rPr>
        <w:t>Chemigation Directions</w:t>
      </w:r>
    </w:p>
    <w:p w14:paraId="20D71BC0" w14:textId="77777777" w:rsidR="005F2CD3" w:rsidRPr="005F2CD3" w:rsidRDefault="005F2CD3" w:rsidP="005F2CD3">
      <w:pPr>
        <w:numPr>
          <w:ilvl w:val="0"/>
          <w:numId w:val="6"/>
        </w:numPr>
        <w:autoSpaceDE w:val="0"/>
        <w:autoSpaceDN w:val="0"/>
        <w:adjustRightInd w:val="0"/>
        <w:spacing w:after="0" w:line="240" w:lineRule="auto"/>
        <w:ind w:left="360"/>
        <w:contextualSpacing/>
        <w:rPr>
          <w:rFonts w:ascii="Arial" w:eastAsia="Aptos" w:hAnsi="Arial" w:cs="Arial"/>
          <w14:ligatures w14:val="standardContextual"/>
        </w:rPr>
      </w:pPr>
      <w:r w:rsidRPr="005F2CD3">
        <w:rPr>
          <w:rFonts w:ascii="Arial" w:eastAsia="Aptos" w:hAnsi="Arial" w:cs="Arial"/>
          <w14:ligatures w14:val="standardContextual"/>
        </w:rPr>
        <w:lastRenderedPageBreak/>
        <w:t>Use a pesticide supply tank for the mixing and application of KitoGard in chemigation systems.</w:t>
      </w:r>
    </w:p>
    <w:p w14:paraId="77504B72" w14:textId="77777777" w:rsidR="005F2CD3" w:rsidRPr="005F2CD3" w:rsidRDefault="005F2CD3" w:rsidP="005F2CD3">
      <w:pPr>
        <w:numPr>
          <w:ilvl w:val="0"/>
          <w:numId w:val="6"/>
        </w:numPr>
        <w:autoSpaceDE w:val="0"/>
        <w:autoSpaceDN w:val="0"/>
        <w:adjustRightInd w:val="0"/>
        <w:spacing w:after="0" w:line="240" w:lineRule="auto"/>
        <w:ind w:left="360"/>
        <w:contextualSpacing/>
        <w:rPr>
          <w:rFonts w:ascii="Arial" w:eastAsia="Aptos" w:hAnsi="Arial" w:cs="Arial"/>
          <w14:ligatures w14:val="standardContextual"/>
        </w:rPr>
      </w:pPr>
      <w:r w:rsidRPr="005F2CD3">
        <w:rPr>
          <w:rFonts w:ascii="Arial" w:eastAsia="Aptos" w:hAnsi="Arial" w:cs="Arial"/>
          <w14:ligatures w14:val="standardContextual"/>
        </w:rPr>
        <w:t>Remove scale, pesticide residues, and other foreign matter from the chemical tank and entire injector system. Flush with clean water.</w:t>
      </w:r>
    </w:p>
    <w:p w14:paraId="5E6B452E" w14:textId="77777777" w:rsidR="005F2CD3" w:rsidRPr="005F2CD3" w:rsidRDefault="005F2CD3" w:rsidP="005F2CD3">
      <w:pPr>
        <w:numPr>
          <w:ilvl w:val="0"/>
          <w:numId w:val="6"/>
        </w:numPr>
        <w:autoSpaceDE w:val="0"/>
        <w:autoSpaceDN w:val="0"/>
        <w:adjustRightInd w:val="0"/>
        <w:spacing w:after="0" w:line="240" w:lineRule="auto"/>
        <w:ind w:left="360"/>
        <w:contextualSpacing/>
        <w:rPr>
          <w:rFonts w:ascii="Arial" w:eastAsia="Aptos" w:hAnsi="Arial" w:cs="Arial"/>
          <w14:ligatures w14:val="standardContextual"/>
        </w:rPr>
      </w:pPr>
      <w:r w:rsidRPr="005F2CD3">
        <w:rPr>
          <w:rFonts w:ascii="Arial" w:eastAsia="Aptos" w:hAnsi="Arial" w:cs="Arial"/>
          <w14:ligatures w14:val="standardContextual"/>
        </w:rPr>
        <w:t>First prepare a suspension of KitoGard in the supply tank by filling the tank with 1/2 to 3/4 the desired amount of water.</w:t>
      </w:r>
    </w:p>
    <w:p w14:paraId="5449DDC9" w14:textId="77777777" w:rsidR="005F2CD3" w:rsidRPr="005F2CD3" w:rsidRDefault="005F2CD3" w:rsidP="005F2CD3">
      <w:pPr>
        <w:numPr>
          <w:ilvl w:val="0"/>
          <w:numId w:val="7"/>
        </w:numPr>
        <w:autoSpaceDE w:val="0"/>
        <w:autoSpaceDN w:val="0"/>
        <w:adjustRightInd w:val="0"/>
        <w:spacing w:after="0" w:line="240" w:lineRule="auto"/>
        <w:ind w:left="720"/>
        <w:contextualSpacing/>
        <w:rPr>
          <w:rFonts w:ascii="Arial" w:eastAsia="Aptos" w:hAnsi="Arial" w:cs="Arial"/>
          <w14:ligatures w14:val="standardContextual"/>
        </w:rPr>
      </w:pPr>
      <w:r w:rsidRPr="005F2CD3">
        <w:rPr>
          <w:rFonts w:ascii="Arial" w:eastAsia="Aptos" w:hAnsi="Arial" w:cs="Arial"/>
          <w14:ligatures w14:val="standardContextual"/>
        </w:rPr>
        <w:t>Start mechanical or hydraulic agitation.</w:t>
      </w:r>
    </w:p>
    <w:p w14:paraId="30CE4D53" w14:textId="77777777" w:rsidR="005F2CD3" w:rsidRPr="005F2CD3" w:rsidRDefault="005F2CD3" w:rsidP="005F2CD3">
      <w:pPr>
        <w:numPr>
          <w:ilvl w:val="0"/>
          <w:numId w:val="7"/>
        </w:numPr>
        <w:autoSpaceDE w:val="0"/>
        <w:autoSpaceDN w:val="0"/>
        <w:adjustRightInd w:val="0"/>
        <w:spacing w:after="0" w:line="240" w:lineRule="auto"/>
        <w:ind w:left="720"/>
        <w:contextualSpacing/>
        <w:rPr>
          <w:rFonts w:ascii="Arial" w:eastAsia="Aptos" w:hAnsi="Arial" w:cs="Arial"/>
          <w14:ligatures w14:val="standardContextual"/>
        </w:rPr>
      </w:pPr>
      <w:r w:rsidRPr="005F2CD3">
        <w:rPr>
          <w:rFonts w:ascii="Arial" w:eastAsia="Aptos" w:hAnsi="Arial" w:cs="Arial"/>
          <w14:ligatures w14:val="standardContextual"/>
        </w:rPr>
        <w:t>Add the required amount of KitoGard and then the remaining volume of water.</w:t>
      </w:r>
    </w:p>
    <w:p w14:paraId="757932CE" w14:textId="77777777" w:rsidR="005F2CD3" w:rsidRPr="005F2CD3" w:rsidRDefault="005F2CD3" w:rsidP="005F2CD3">
      <w:pPr>
        <w:numPr>
          <w:ilvl w:val="0"/>
          <w:numId w:val="7"/>
        </w:numPr>
        <w:autoSpaceDE w:val="0"/>
        <w:autoSpaceDN w:val="0"/>
        <w:adjustRightInd w:val="0"/>
        <w:spacing w:after="0" w:line="240" w:lineRule="auto"/>
        <w:ind w:left="720"/>
        <w:contextualSpacing/>
        <w:rPr>
          <w:rFonts w:ascii="Arial" w:eastAsia="Aptos" w:hAnsi="Arial" w:cs="Arial"/>
          <w14:ligatures w14:val="standardContextual"/>
        </w:rPr>
      </w:pPr>
      <w:r w:rsidRPr="005F2CD3">
        <w:rPr>
          <w:rFonts w:ascii="Arial" w:eastAsia="Aptos" w:hAnsi="Arial" w:cs="Arial"/>
          <w14:ligatures w14:val="standardContextual"/>
        </w:rPr>
        <w:t>When mixing with other products, add the other product(s) to water of pH 6.5 or lower and add the KitoGard to the mixture last.</w:t>
      </w:r>
    </w:p>
    <w:p w14:paraId="459EF7E1" w14:textId="77777777" w:rsidR="005F2CD3" w:rsidRPr="005F2CD3" w:rsidRDefault="005F2CD3" w:rsidP="005F2CD3">
      <w:pPr>
        <w:numPr>
          <w:ilvl w:val="0"/>
          <w:numId w:val="7"/>
        </w:numPr>
        <w:autoSpaceDE w:val="0"/>
        <w:autoSpaceDN w:val="0"/>
        <w:adjustRightInd w:val="0"/>
        <w:spacing w:after="0" w:line="240" w:lineRule="auto"/>
        <w:ind w:left="720"/>
        <w:contextualSpacing/>
        <w:rPr>
          <w:rFonts w:ascii="Arial" w:eastAsia="Aptos" w:hAnsi="Arial" w:cs="Arial"/>
          <w14:ligatures w14:val="standardContextual"/>
        </w:rPr>
      </w:pPr>
      <w:r w:rsidRPr="005F2CD3">
        <w:rPr>
          <w:rFonts w:ascii="Arial" w:eastAsia="Aptos" w:hAnsi="Arial" w:cs="Arial"/>
          <w14:ligatures w14:val="standardContextual"/>
        </w:rPr>
        <w:t>The suspension of KitoGard must be injected with a positive displacement pump into the main line ahead of a right angle turn to ensure adequate mixing.</w:t>
      </w:r>
    </w:p>
    <w:p w14:paraId="7E985411" w14:textId="77777777" w:rsidR="005F2CD3" w:rsidRPr="005F2CD3" w:rsidRDefault="005F2CD3" w:rsidP="005F2CD3">
      <w:pPr>
        <w:numPr>
          <w:ilvl w:val="0"/>
          <w:numId w:val="6"/>
        </w:numPr>
        <w:autoSpaceDE w:val="0"/>
        <w:autoSpaceDN w:val="0"/>
        <w:adjustRightInd w:val="0"/>
        <w:spacing w:after="0" w:line="240" w:lineRule="auto"/>
        <w:ind w:left="360"/>
        <w:contextualSpacing/>
        <w:rPr>
          <w:rFonts w:ascii="Arial" w:eastAsia="Aptos" w:hAnsi="Arial" w:cs="Arial"/>
          <w14:ligatures w14:val="standardContextual"/>
        </w:rPr>
      </w:pPr>
      <w:r w:rsidRPr="005F2CD3">
        <w:rPr>
          <w:rFonts w:ascii="Arial" w:eastAsia="Aptos" w:hAnsi="Arial" w:cs="Arial"/>
          <w14:ligatures w14:val="standardContextual"/>
        </w:rPr>
        <w:t>Maintain continuous agitation in the supply tank during mixing and application to assure a uniform suspension.</w:t>
      </w:r>
    </w:p>
    <w:p w14:paraId="34DE0E82" w14:textId="77777777" w:rsidR="005F2CD3" w:rsidRPr="005F2CD3" w:rsidRDefault="005F2CD3" w:rsidP="005F2CD3">
      <w:pPr>
        <w:numPr>
          <w:ilvl w:val="0"/>
          <w:numId w:val="6"/>
        </w:numPr>
        <w:autoSpaceDE w:val="0"/>
        <w:autoSpaceDN w:val="0"/>
        <w:adjustRightInd w:val="0"/>
        <w:spacing w:after="0" w:line="240" w:lineRule="auto"/>
        <w:ind w:left="360"/>
        <w:contextualSpacing/>
        <w:rPr>
          <w:rFonts w:ascii="Arial" w:eastAsia="Aptos" w:hAnsi="Arial" w:cs="Arial"/>
          <w14:ligatures w14:val="standardContextual"/>
        </w:rPr>
      </w:pPr>
      <w:r w:rsidRPr="005F2CD3">
        <w:rPr>
          <w:rFonts w:ascii="Arial" w:eastAsia="Aptos" w:hAnsi="Arial" w:cs="Arial"/>
          <w14:ligatures w14:val="standardContextual"/>
        </w:rPr>
        <w:t>For center pivot and other continuously moving sprinkler systems, set system to apply 0.1 to 0.3 inches of water with the required amount of mixture evenly and continuously throughout the irrigation cycle.</w:t>
      </w:r>
    </w:p>
    <w:p w14:paraId="45DF4E4B" w14:textId="77777777" w:rsidR="005F2CD3" w:rsidRPr="005F2CD3" w:rsidRDefault="005F2CD3" w:rsidP="005F2CD3">
      <w:pPr>
        <w:numPr>
          <w:ilvl w:val="0"/>
          <w:numId w:val="6"/>
        </w:numPr>
        <w:autoSpaceDE w:val="0"/>
        <w:autoSpaceDN w:val="0"/>
        <w:adjustRightInd w:val="0"/>
        <w:spacing w:after="0" w:line="240" w:lineRule="auto"/>
        <w:ind w:left="360"/>
        <w:contextualSpacing/>
        <w:rPr>
          <w:rFonts w:ascii="Arial" w:eastAsia="Aptos" w:hAnsi="Arial" w:cs="Arial"/>
          <w14:ligatures w14:val="standardContextual"/>
        </w:rPr>
      </w:pPr>
      <w:r w:rsidRPr="005F2CD3">
        <w:rPr>
          <w:rFonts w:ascii="Arial" w:eastAsia="Aptos" w:hAnsi="Arial" w:cs="Arial"/>
          <w14:ligatures w14:val="standardContextual"/>
        </w:rPr>
        <w:t>For solid set, wheel-line, drip, micro sprinkler or other stationary system applications, introduce the correct amount of KitoGard mixture from the supply tank into the irrigation water during the middle one-third of the irrigation cycle.</w:t>
      </w:r>
    </w:p>
    <w:p w14:paraId="5668D1C0" w14:textId="77777777" w:rsidR="005F2CD3" w:rsidRDefault="005F2CD3" w:rsidP="006A47AA">
      <w:pPr>
        <w:spacing w:before="66" w:after="0" w:line="240" w:lineRule="auto"/>
        <w:rPr>
          <w:rFonts w:ascii="Arial" w:eastAsia="Arial" w:hAnsi="Arial" w:cs="Arial"/>
          <w:bCs/>
          <w:sz w:val="20"/>
        </w:rPr>
      </w:pPr>
    </w:p>
    <w:p w14:paraId="2842671D" w14:textId="77777777" w:rsidR="00327C45" w:rsidRDefault="00327C45" w:rsidP="006A47AA">
      <w:pPr>
        <w:spacing w:before="66" w:after="0" w:line="240" w:lineRule="auto"/>
        <w:rPr>
          <w:rFonts w:ascii="Arial" w:eastAsia="Arial" w:hAnsi="Arial" w:cs="Arial"/>
          <w:bCs/>
          <w:sz w:val="20"/>
        </w:rPr>
      </w:pPr>
    </w:p>
    <w:p w14:paraId="0315C83B" w14:textId="149C6877" w:rsidR="006E6BDF" w:rsidRDefault="006E6BDF" w:rsidP="005F2CD3">
      <w:pPr>
        <w:spacing w:before="179" w:after="0" w:line="242" w:lineRule="auto"/>
        <w:ind w:left="1440" w:right="333" w:hanging="1"/>
        <w:jc w:val="both"/>
        <w:rPr>
          <w:rFonts w:ascii="Arial" w:eastAsia="Arial" w:hAnsi="Arial" w:cs="Arial"/>
          <w:b/>
          <w:sz w:val="20"/>
        </w:rPr>
      </w:pPr>
    </w:p>
    <w:sectPr w:rsidR="006E6BDF" w:rsidSect="00327C45">
      <w:headerReference w:type="default" r:id="rId7"/>
      <w:footerReference w:type="default" r:id="rId8"/>
      <w:pgSz w:w="12240" w:h="15840"/>
      <w:pgMar w:top="117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5BC34" w14:textId="77777777" w:rsidR="00146409" w:rsidRDefault="00146409">
      <w:pPr>
        <w:spacing w:after="0" w:line="240" w:lineRule="auto"/>
      </w:pPr>
      <w:r>
        <w:separator/>
      </w:r>
    </w:p>
  </w:endnote>
  <w:endnote w:type="continuationSeparator" w:id="0">
    <w:p w14:paraId="6D945BD7" w14:textId="77777777" w:rsidR="00146409" w:rsidRDefault="00146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2E02D" w14:textId="4D898720" w:rsidR="00E96980" w:rsidRPr="008018F0" w:rsidRDefault="00327C45" w:rsidP="00327C45">
    <w:pPr>
      <w:pStyle w:val="Footer"/>
      <w:tabs>
        <w:tab w:val="clear" w:pos="9360"/>
        <w:tab w:val="right" w:pos="10440"/>
      </w:tabs>
      <w:jc w:val="right"/>
      <w:rPr>
        <w:sz w:val="18"/>
        <w:szCs w:val="18"/>
        <w:lang w:val="pt-PT"/>
      </w:rPr>
    </w:pPr>
    <w:r>
      <w:rPr>
        <w:sz w:val="18"/>
        <w:szCs w:val="18"/>
        <w:lang w:val="pt-PT"/>
      </w:rPr>
      <w:t xml:space="preserve">KitoGard Chemigation Supplamental 9-2025 </w:t>
    </w:r>
  </w:p>
  <w:p w14:paraId="16C7F64B" w14:textId="035DDB9E" w:rsidR="00696185" w:rsidRPr="00327C45" w:rsidRDefault="00327C45" w:rsidP="004D54E0">
    <w:pPr>
      <w:pStyle w:val="Footer"/>
      <w:tabs>
        <w:tab w:val="clear" w:pos="9360"/>
        <w:tab w:val="right" w:pos="10440"/>
      </w:tabs>
      <w:rPr>
        <w:b/>
        <w:bCs/>
        <w:lang w:val="pt-PT"/>
      </w:rPr>
    </w:pPr>
    <w:r w:rsidRPr="00327C45">
      <w:rPr>
        <w:b/>
        <w:bCs/>
        <w:lang w:val="pt-PT"/>
      </w:rPr>
      <w:t xml:space="preserve">Sym-Agro Inc, 111 South Court Street, Visalia CA 93921 </w:t>
    </w:r>
  </w:p>
  <w:p w14:paraId="4269EF61" w14:textId="52AE6EDE" w:rsidR="00656888" w:rsidRDefault="00656888" w:rsidP="009763CA">
    <w:pPr>
      <w:pStyle w:val="Footer"/>
      <w:tabs>
        <w:tab w:val="clear" w:pos="9360"/>
        <w:tab w:val="right" w:pos="104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5A379" w14:textId="77777777" w:rsidR="00146409" w:rsidRDefault="00146409">
      <w:pPr>
        <w:spacing w:after="0" w:line="240" w:lineRule="auto"/>
      </w:pPr>
      <w:r>
        <w:separator/>
      </w:r>
    </w:p>
  </w:footnote>
  <w:footnote w:type="continuationSeparator" w:id="0">
    <w:p w14:paraId="7F50F188" w14:textId="77777777" w:rsidR="00146409" w:rsidRDefault="00146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61D2" w14:textId="77777777" w:rsidR="008018F0" w:rsidRDefault="008018F0">
    <w:pPr>
      <w:pStyle w:val="Header"/>
    </w:pPr>
  </w:p>
  <w:p w14:paraId="30F70234" w14:textId="11AEA442" w:rsidR="00327C45" w:rsidRDefault="00327C45" w:rsidP="00327C45">
    <w:pPr>
      <w:pStyle w:val="Header"/>
      <w:jc w:val="center"/>
    </w:pPr>
    <w:r>
      <w:rPr>
        <w:noProof/>
      </w:rPr>
      <w:drawing>
        <wp:inline distT="0" distB="0" distL="0" distR="0" wp14:anchorId="15483F4E" wp14:editId="7C1E466F">
          <wp:extent cx="2311598" cy="465931"/>
          <wp:effectExtent l="0" t="0" r="0" b="0"/>
          <wp:docPr id="2143399172" name="Picture 1" descr="A logo with a leaf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91665" name="Picture 1" descr="A logo with a leaf and a su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6220" cy="478956"/>
                  </a:xfrm>
                  <a:prstGeom prst="rect">
                    <a:avLst/>
                  </a:prstGeom>
                  <a:noFill/>
                  <a:ln>
                    <a:noFill/>
                  </a:ln>
                </pic:spPr>
              </pic:pic>
            </a:graphicData>
          </a:graphic>
        </wp:inline>
      </w:drawing>
    </w:r>
  </w:p>
  <w:p w14:paraId="34FBF62D" w14:textId="77777777" w:rsidR="00327C45" w:rsidRDefault="00327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A1487"/>
    <w:multiLevelType w:val="hybridMultilevel"/>
    <w:tmpl w:val="668A3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BBF5C55"/>
    <w:multiLevelType w:val="hybridMultilevel"/>
    <w:tmpl w:val="34F031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CD33B50"/>
    <w:multiLevelType w:val="hybridMultilevel"/>
    <w:tmpl w:val="EB92E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EB392D"/>
    <w:multiLevelType w:val="hybridMultilevel"/>
    <w:tmpl w:val="95382E50"/>
    <w:lvl w:ilvl="0" w:tplc="B854F72A">
      <w:start w:val="3"/>
      <w:numFmt w:val="bullet"/>
      <w:lvlText w:val=""/>
      <w:lvlJc w:val="left"/>
      <w:pPr>
        <w:ind w:left="1080" w:hanging="360"/>
      </w:pPr>
      <w:rPr>
        <w:rFonts w:ascii="Symbol" w:eastAsiaTheme="minorHAnsi" w:hAnsi="Symbol"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49A58A5"/>
    <w:multiLevelType w:val="hybridMultilevel"/>
    <w:tmpl w:val="A8B003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A091A30"/>
    <w:multiLevelType w:val="hybridMultilevel"/>
    <w:tmpl w:val="7D349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2020A66"/>
    <w:multiLevelType w:val="hybridMultilevel"/>
    <w:tmpl w:val="9BF81EC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4B5066E"/>
    <w:multiLevelType w:val="multilevel"/>
    <w:tmpl w:val="8EB4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748086">
    <w:abstractNumId w:val="7"/>
  </w:num>
  <w:num w:numId="2" w16cid:durableId="1603033855">
    <w:abstractNumId w:val="1"/>
  </w:num>
  <w:num w:numId="3" w16cid:durableId="7103497">
    <w:abstractNumId w:val="6"/>
  </w:num>
  <w:num w:numId="4" w16cid:durableId="771361544">
    <w:abstractNumId w:val="5"/>
  </w:num>
  <w:num w:numId="5" w16cid:durableId="122507146">
    <w:abstractNumId w:val="4"/>
  </w:num>
  <w:num w:numId="6" w16cid:durableId="1561331375">
    <w:abstractNumId w:val="2"/>
  </w:num>
  <w:num w:numId="7" w16cid:durableId="6371116">
    <w:abstractNumId w:val="3"/>
  </w:num>
  <w:num w:numId="8" w16cid:durableId="2024669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BDF"/>
    <w:rsid w:val="00043D61"/>
    <w:rsid w:val="000531D1"/>
    <w:rsid w:val="00075892"/>
    <w:rsid w:val="00080350"/>
    <w:rsid w:val="000F48D3"/>
    <w:rsid w:val="00146409"/>
    <w:rsid w:val="00214374"/>
    <w:rsid w:val="00221939"/>
    <w:rsid w:val="00227F70"/>
    <w:rsid w:val="00255B85"/>
    <w:rsid w:val="002F1176"/>
    <w:rsid w:val="002F6A43"/>
    <w:rsid w:val="00327C45"/>
    <w:rsid w:val="00331994"/>
    <w:rsid w:val="00341ED9"/>
    <w:rsid w:val="003672B3"/>
    <w:rsid w:val="003E28C3"/>
    <w:rsid w:val="004420A3"/>
    <w:rsid w:val="00445E80"/>
    <w:rsid w:val="004611DF"/>
    <w:rsid w:val="004D54E0"/>
    <w:rsid w:val="00575CEF"/>
    <w:rsid w:val="005A7302"/>
    <w:rsid w:val="005C6447"/>
    <w:rsid w:val="005D26DC"/>
    <w:rsid w:val="005F2CD3"/>
    <w:rsid w:val="00603250"/>
    <w:rsid w:val="00656888"/>
    <w:rsid w:val="00677172"/>
    <w:rsid w:val="00693F16"/>
    <w:rsid w:val="00696185"/>
    <w:rsid w:val="006A47AA"/>
    <w:rsid w:val="006E6BDF"/>
    <w:rsid w:val="006E73D2"/>
    <w:rsid w:val="00722632"/>
    <w:rsid w:val="00730B6C"/>
    <w:rsid w:val="00732B72"/>
    <w:rsid w:val="007617E1"/>
    <w:rsid w:val="0079154B"/>
    <w:rsid w:val="008018F0"/>
    <w:rsid w:val="00813271"/>
    <w:rsid w:val="009412C1"/>
    <w:rsid w:val="009763CA"/>
    <w:rsid w:val="009B16BB"/>
    <w:rsid w:val="009B63BC"/>
    <w:rsid w:val="009E03D1"/>
    <w:rsid w:val="00A445C0"/>
    <w:rsid w:val="00AC2412"/>
    <w:rsid w:val="00AD78FE"/>
    <w:rsid w:val="00AF56EF"/>
    <w:rsid w:val="00B20B6D"/>
    <w:rsid w:val="00B25B06"/>
    <w:rsid w:val="00B850A4"/>
    <w:rsid w:val="00BE589C"/>
    <w:rsid w:val="00C31910"/>
    <w:rsid w:val="00CD0C20"/>
    <w:rsid w:val="00CD4120"/>
    <w:rsid w:val="00D06753"/>
    <w:rsid w:val="00D0736C"/>
    <w:rsid w:val="00D334F8"/>
    <w:rsid w:val="00E12D35"/>
    <w:rsid w:val="00E9438C"/>
    <w:rsid w:val="00E96980"/>
    <w:rsid w:val="00EC1529"/>
    <w:rsid w:val="00EC3A75"/>
    <w:rsid w:val="00F62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68711"/>
  <w15:chartTrackingRefBased/>
  <w15:docId w15:val="{F19AC67F-4F4F-4A11-AB7C-5CC46030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BD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6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BDF"/>
    <w:rPr>
      <w:rFonts w:eastAsiaTheme="minorEastAsia"/>
    </w:rPr>
  </w:style>
  <w:style w:type="paragraph" w:styleId="BalloonText">
    <w:name w:val="Balloon Text"/>
    <w:basedOn w:val="Normal"/>
    <w:link w:val="BalloonTextChar"/>
    <w:uiPriority w:val="99"/>
    <w:semiHidden/>
    <w:unhideWhenUsed/>
    <w:rsid w:val="006E6B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BDF"/>
    <w:rPr>
      <w:rFonts w:ascii="Segoe UI" w:eastAsiaTheme="minorEastAsia" w:hAnsi="Segoe UI" w:cs="Segoe UI"/>
      <w:sz w:val="18"/>
      <w:szCs w:val="18"/>
    </w:rPr>
  </w:style>
  <w:style w:type="paragraph" w:styleId="NoSpacing">
    <w:name w:val="No Spacing"/>
    <w:uiPriority w:val="1"/>
    <w:qFormat/>
    <w:rsid w:val="00227F70"/>
    <w:pPr>
      <w:spacing w:after="0" w:line="240" w:lineRule="auto"/>
    </w:pPr>
    <w:rPr>
      <w:rFonts w:eastAsiaTheme="minorEastAsia"/>
    </w:rPr>
  </w:style>
  <w:style w:type="character" w:styleId="CommentReference">
    <w:name w:val="annotation reference"/>
    <w:basedOn w:val="DefaultParagraphFont"/>
    <w:uiPriority w:val="99"/>
    <w:semiHidden/>
    <w:unhideWhenUsed/>
    <w:rsid w:val="00575CEF"/>
    <w:rPr>
      <w:sz w:val="16"/>
      <w:szCs w:val="16"/>
    </w:rPr>
  </w:style>
  <w:style w:type="paragraph" w:styleId="CommentText">
    <w:name w:val="annotation text"/>
    <w:basedOn w:val="Normal"/>
    <w:link w:val="CommentTextChar"/>
    <w:uiPriority w:val="99"/>
    <w:semiHidden/>
    <w:unhideWhenUsed/>
    <w:rsid w:val="00575CEF"/>
    <w:pPr>
      <w:spacing w:line="240" w:lineRule="auto"/>
    </w:pPr>
    <w:rPr>
      <w:sz w:val="20"/>
      <w:szCs w:val="20"/>
    </w:rPr>
  </w:style>
  <w:style w:type="character" w:customStyle="1" w:styleId="CommentTextChar">
    <w:name w:val="Comment Text Char"/>
    <w:basedOn w:val="DefaultParagraphFont"/>
    <w:link w:val="CommentText"/>
    <w:uiPriority w:val="99"/>
    <w:semiHidden/>
    <w:rsid w:val="00575CE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75CEF"/>
    <w:rPr>
      <w:b/>
      <w:bCs/>
    </w:rPr>
  </w:style>
  <w:style w:type="character" w:customStyle="1" w:styleId="CommentSubjectChar">
    <w:name w:val="Comment Subject Char"/>
    <w:basedOn w:val="CommentTextChar"/>
    <w:link w:val="CommentSubject"/>
    <w:uiPriority w:val="99"/>
    <w:semiHidden/>
    <w:rsid w:val="00575CEF"/>
    <w:rPr>
      <w:rFonts w:eastAsiaTheme="minorEastAsia"/>
      <w:b/>
      <w:bCs/>
      <w:sz w:val="20"/>
      <w:szCs w:val="20"/>
    </w:rPr>
  </w:style>
  <w:style w:type="character" w:styleId="Hyperlink">
    <w:name w:val="Hyperlink"/>
    <w:basedOn w:val="DefaultParagraphFont"/>
    <w:uiPriority w:val="99"/>
    <w:unhideWhenUsed/>
    <w:rsid w:val="00043D61"/>
    <w:rPr>
      <w:color w:val="0563C1" w:themeColor="hyperlink"/>
      <w:u w:val="single"/>
    </w:rPr>
  </w:style>
  <w:style w:type="character" w:customStyle="1" w:styleId="UnresolvedMention1">
    <w:name w:val="Unresolved Mention1"/>
    <w:basedOn w:val="DefaultParagraphFont"/>
    <w:uiPriority w:val="99"/>
    <w:semiHidden/>
    <w:unhideWhenUsed/>
    <w:rsid w:val="00043D61"/>
    <w:rPr>
      <w:color w:val="605E5C"/>
      <w:shd w:val="clear" w:color="auto" w:fill="E1DFDD"/>
    </w:rPr>
  </w:style>
  <w:style w:type="paragraph" w:styleId="Revision">
    <w:name w:val="Revision"/>
    <w:hidden/>
    <w:uiPriority w:val="99"/>
    <w:semiHidden/>
    <w:rsid w:val="00813271"/>
    <w:pPr>
      <w:spacing w:after="0" w:line="240" w:lineRule="auto"/>
    </w:pPr>
    <w:rPr>
      <w:rFonts w:eastAsiaTheme="minorEastAsia"/>
    </w:rPr>
  </w:style>
  <w:style w:type="character" w:styleId="UnresolvedMention">
    <w:name w:val="Unresolved Mention"/>
    <w:basedOn w:val="DefaultParagraphFont"/>
    <w:uiPriority w:val="99"/>
    <w:semiHidden/>
    <w:unhideWhenUsed/>
    <w:rsid w:val="00B850A4"/>
    <w:rPr>
      <w:color w:val="605E5C"/>
      <w:shd w:val="clear" w:color="auto" w:fill="E1DFDD"/>
    </w:rPr>
  </w:style>
  <w:style w:type="character" w:styleId="FollowedHyperlink">
    <w:name w:val="FollowedHyperlink"/>
    <w:basedOn w:val="DefaultParagraphFont"/>
    <w:uiPriority w:val="99"/>
    <w:semiHidden/>
    <w:unhideWhenUsed/>
    <w:rsid w:val="00603250"/>
    <w:rPr>
      <w:color w:val="954F72" w:themeColor="followedHyperlink"/>
      <w:u w:val="single"/>
    </w:rPr>
  </w:style>
  <w:style w:type="paragraph" w:styleId="Header">
    <w:name w:val="header"/>
    <w:basedOn w:val="Normal"/>
    <w:link w:val="HeaderChar"/>
    <w:uiPriority w:val="99"/>
    <w:unhideWhenUsed/>
    <w:rsid w:val="009B16BB"/>
    <w:pPr>
      <w:tabs>
        <w:tab w:val="center" w:pos="4252"/>
        <w:tab w:val="right" w:pos="8504"/>
      </w:tabs>
      <w:spacing w:after="0" w:line="240" w:lineRule="auto"/>
    </w:pPr>
  </w:style>
  <w:style w:type="character" w:customStyle="1" w:styleId="HeaderChar">
    <w:name w:val="Header Char"/>
    <w:basedOn w:val="DefaultParagraphFont"/>
    <w:link w:val="Header"/>
    <w:uiPriority w:val="99"/>
    <w:rsid w:val="009B16B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95096">
      <w:bodyDiv w:val="1"/>
      <w:marLeft w:val="0"/>
      <w:marRight w:val="0"/>
      <w:marTop w:val="0"/>
      <w:marBottom w:val="0"/>
      <w:divBdr>
        <w:top w:val="none" w:sz="0" w:space="0" w:color="auto"/>
        <w:left w:val="none" w:sz="0" w:space="0" w:color="auto"/>
        <w:bottom w:val="none" w:sz="0" w:space="0" w:color="auto"/>
        <w:right w:val="none" w:sz="0" w:space="0" w:color="auto"/>
      </w:divBdr>
    </w:div>
    <w:div w:id="55732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1279</Words>
  <Characters>7291</Characters>
  <Application>Microsoft Office Word</Application>
  <DocSecurity>0</DocSecurity>
  <Lines>60</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 Bierma</cp:lastModifiedBy>
  <cp:revision>3</cp:revision>
  <cp:lastPrinted>2020-12-21T22:55:00Z</cp:lastPrinted>
  <dcterms:created xsi:type="dcterms:W3CDTF">2025-09-22T18:37:00Z</dcterms:created>
  <dcterms:modified xsi:type="dcterms:W3CDTF">2025-09-24T23:37:00Z</dcterms:modified>
</cp:coreProperties>
</file>